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DC" w:rsidRDefault="002500E1">
      <w:pPr>
        <w:spacing w:before="76"/>
        <w:ind w:left="10242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ООО «МРП Техноаргус»</w:t>
      </w:r>
    </w:p>
    <w:p w:rsidR="00F309DC" w:rsidRDefault="00F309DC">
      <w:pPr>
        <w:pStyle w:val="a3"/>
        <w:rPr>
          <w:b/>
          <w:sz w:val="20"/>
        </w:rPr>
      </w:pPr>
    </w:p>
    <w:p w:rsidR="00F309DC" w:rsidRDefault="00F309DC">
      <w:pPr>
        <w:pStyle w:val="a3"/>
        <w:rPr>
          <w:b/>
          <w:sz w:val="20"/>
        </w:rPr>
      </w:pPr>
    </w:p>
    <w:p w:rsidR="00F309DC" w:rsidRDefault="00F309DC">
      <w:pPr>
        <w:pStyle w:val="a3"/>
        <w:rPr>
          <w:b/>
          <w:sz w:val="20"/>
        </w:rPr>
      </w:pPr>
    </w:p>
    <w:p w:rsidR="00F309DC" w:rsidRDefault="00F309DC">
      <w:pPr>
        <w:pStyle w:val="a3"/>
        <w:rPr>
          <w:b/>
          <w:sz w:val="20"/>
        </w:rPr>
      </w:pPr>
    </w:p>
    <w:p w:rsidR="00F309DC" w:rsidRDefault="002500E1">
      <w:pPr>
        <w:pStyle w:val="a3"/>
        <w:spacing w:before="8"/>
        <w:rPr>
          <w:b/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6037988</wp:posOffset>
            </wp:positionH>
            <wp:positionV relativeFrom="paragraph">
              <wp:posOffset>125040</wp:posOffset>
            </wp:positionV>
            <wp:extent cx="3544354" cy="168249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354" cy="16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9DC" w:rsidRDefault="00F309DC">
      <w:pPr>
        <w:pStyle w:val="a3"/>
        <w:rPr>
          <w:b/>
          <w:sz w:val="20"/>
        </w:rPr>
      </w:pPr>
    </w:p>
    <w:p w:rsidR="00F309DC" w:rsidRDefault="00F309DC">
      <w:pPr>
        <w:pStyle w:val="a3"/>
        <w:rPr>
          <w:b/>
          <w:sz w:val="20"/>
        </w:rPr>
      </w:pPr>
    </w:p>
    <w:p w:rsidR="00F309DC" w:rsidRDefault="00F309DC">
      <w:pPr>
        <w:pStyle w:val="a3"/>
        <w:rPr>
          <w:b/>
          <w:sz w:val="20"/>
        </w:rPr>
      </w:pPr>
    </w:p>
    <w:p w:rsidR="00F309DC" w:rsidRDefault="00F309DC">
      <w:pPr>
        <w:pStyle w:val="a3"/>
        <w:spacing w:before="6"/>
        <w:rPr>
          <w:b/>
          <w:sz w:val="24"/>
        </w:rPr>
      </w:pPr>
    </w:p>
    <w:p w:rsidR="00F309DC" w:rsidRDefault="002500E1">
      <w:pPr>
        <w:spacing w:before="81" w:line="242" w:lineRule="auto"/>
        <w:ind w:left="9258" w:firstLine="1771"/>
        <w:rPr>
          <w:b/>
          <w:sz w:val="40"/>
        </w:rPr>
      </w:pPr>
      <w:r>
        <w:rPr>
          <w:b/>
          <w:sz w:val="40"/>
        </w:rPr>
        <w:t>ЛИНЕЙКА СКИАСКОПИЧЕСКАЯ ЛС-02</w:t>
      </w:r>
    </w:p>
    <w:p w:rsidR="00F309DC" w:rsidRDefault="002500E1">
      <w:pPr>
        <w:pStyle w:val="1"/>
        <w:spacing w:line="321" w:lineRule="exact"/>
        <w:ind w:left="9412"/>
      </w:pPr>
      <w:r>
        <w:t>РЕГИСТРАЦИОННОЕ УДОСТОВЕРЕНИЕ</w:t>
      </w:r>
    </w:p>
    <w:p w:rsidR="00F309DC" w:rsidRDefault="002500E1">
      <w:pPr>
        <w:spacing w:before="10"/>
        <w:ind w:left="9407" w:right="914"/>
        <w:jc w:val="center"/>
        <w:rPr>
          <w:sz w:val="28"/>
        </w:rPr>
      </w:pPr>
      <w:r>
        <w:rPr>
          <w:sz w:val="28"/>
        </w:rPr>
        <w:t>№ ФСР 2010/07298 от 07 апреля 2010 года</w:t>
      </w:r>
    </w:p>
    <w:p w:rsidR="00F309DC" w:rsidRDefault="00F309DC">
      <w:pPr>
        <w:pStyle w:val="a3"/>
        <w:spacing w:before="5"/>
        <w:rPr>
          <w:sz w:val="25"/>
        </w:rPr>
      </w:pPr>
    </w:p>
    <w:p w:rsidR="00F309DC" w:rsidRDefault="002500E1">
      <w:pPr>
        <w:spacing w:before="1"/>
        <w:ind w:left="9412" w:right="909"/>
        <w:jc w:val="center"/>
        <w:rPr>
          <w:sz w:val="32"/>
        </w:rPr>
      </w:pPr>
      <w:r>
        <w:rPr>
          <w:sz w:val="32"/>
        </w:rPr>
        <w:t>ПАСПОРТ</w:t>
      </w:r>
    </w:p>
    <w:p w:rsidR="00F309DC" w:rsidRDefault="00F309DC">
      <w:pPr>
        <w:pStyle w:val="a3"/>
        <w:rPr>
          <w:sz w:val="20"/>
        </w:rPr>
      </w:pPr>
    </w:p>
    <w:p w:rsidR="00F309DC" w:rsidRDefault="002500E1">
      <w:pPr>
        <w:pStyle w:val="a3"/>
        <w:spacing w:before="2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7588322</wp:posOffset>
            </wp:positionH>
            <wp:positionV relativeFrom="paragraph">
              <wp:posOffset>99491</wp:posOffset>
            </wp:positionV>
            <wp:extent cx="877077" cy="6949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077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9DC" w:rsidRDefault="002500E1">
      <w:pPr>
        <w:pStyle w:val="1"/>
        <w:spacing w:before="291" w:line="357" w:lineRule="auto"/>
        <w:ind w:left="10765" w:right="453" w:hanging="1028"/>
        <w:jc w:val="left"/>
      </w:pPr>
      <w:r>
        <w:t>СРЕДСТВОМ ИЗМЕРЕНИЯ НЕ ЯВЛЯЕТСЯ ПОВЕРКЕ НЕ ПОДЛЕЖИТ</w:t>
      </w:r>
    </w:p>
    <w:p w:rsidR="00F309DC" w:rsidRDefault="00F309DC">
      <w:pPr>
        <w:spacing w:line="357" w:lineRule="auto"/>
        <w:sectPr w:rsidR="00F309DC">
          <w:type w:val="continuous"/>
          <w:pgSz w:w="16840" w:h="11910" w:orient="landscape"/>
          <w:pgMar w:top="380" w:right="620" w:bottom="280" w:left="580" w:header="720" w:footer="720" w:gutter="0"/>
          <w:cols w:space="720"/>
        </w:sectPr>
      </w:pPr>
    </w:p>
    <w:p w:rsidR="00F309DC" w:rsidRDefault="002500E1">
      <w:pPr>
        <w:pStyle w:val="2"/>
        <w:spacing w:before="71"/>
        <w:ind w:right="1298"/>
        <w:jc w:val="center"/>
      </w:pPr>
      <w:r>
        <w:lastRenderedPageBreak/>
        <w:t>НАЗНАЧЕНИЕ ИЗДЕЛИЯ</w:t>
      </w:r>
    </w:p>
    <w:p w:rsidR="00F309DC" w:rsidRDefault="002500E1">
      <w:pPr>
        <w:pStyle w:val="a3"/>
        <w:spacing w:before="14" w:line="249" w:lineRule="auto"/>
        <w:ind w:left="481" w:right="163" w:firstLine="153"/>
      </w:pPr>
      <w:r>
        <w:t>Линейка скиаскопическая ЛС-02 (в дальнейшем линейка) предназначена для объективного исследования глаза с помощью скиаскопа методом теневой пробы.</w:t>
      </w:r>
    </w:p>
    <w:p w:rsidR="00F309DC" w:rsidRDefault="00F309DC">
      <w:pPr>
        <w:pStyle w:val="a3"/>
        <w:rPr>
          <w:sz w:val="20"/>
        </w:rPr>
      </w:pPr>
    </w:p>
    <w:p w:rsidR="00F309DC" w:rsidRDefault="00F309DC">
      <w:pPr>
        <w:pStyle w:val="a3"/>
        <w:spacing w:before="5"/>
        <w:rPr>
          <w:sz w:val="21"/>
        </w:rPr>
      </w:pPr>
    </w:p>
    <w:p w:rsidR="00F309DC" w:rsidRDefault="002500E1">
      <w:pPr>
        <w:pStyle w:val="2"/>
        <w:ind w:right="1298"/>
        <w:jc w:val="center"/>
      </w:pPr>
      <w:r>
        <w:t>ТЕХНИЧЕСКИЕ ХАРАКТЕРИСТИКИ</w:t>
      </w:r>
    </w:p>
    <w:p w:rsidR="00F309DC" w:rsidRDefault="002500E1">
      <w:pPr>
        <w:pStyle w:val="a3"/>
        <w:spacing w:before="34"/>
        <w:ind w:left="822"/>
      </w:pPr>
      <w:r>
        <w:t>Диапазон задней вершинной рефракции воспроизводимый линейкой ±19дптр.</w:t>
      </w:r>
    </w:p>
    <w:p w:rsidR="00F309DC" w:rsidRDefault="002500E1">
      <w:pPr>
        <w:pStyle w:val="a3"/>
        <w:spacing w:before="33" w:line="278" w:lineRule="auto"/>
        <w:ind w:left="812" w:right="635" w:firstLine="9"/>
      </w:pPr>
      <w:r>
        <w:t>Градации во</w:t>
      </w:r>
      <w:r>
        <w:t xml:space="preserve">спроизведения задней вершинной рефракции, в диапазоне </w:t>
      </w:r>
      <w:r>
        <w:rPr>
          <w:spacing w:val="-3"/>
        </w:rPr>
        <w:t xml:space="preserve">от  </w:t>
      </w:r>
      <w:r>
        <w:t>0 до ±9,5дптр через 0,5дптр; свыше ±10,0дптр - 1,0дптр  Габаритные размеры линейки в жестком футляре</w:t>
      </w:r>
      <w:r>
        <w:rPr>
          <w:spacing w:val="28"/>
        </w:rPr>
        <w:t xml:space="preserve"> </w:t>
      </w:r>
      <w:r>
        <w:t>375х50х55мм</w:t>
      </w:r>
    </w:p>
    <w:p w:rsidR="00F309DC" w:rsidRDefault="002500E1">
      <w:pPr>
        <w:pStyle w:val="a3"/>
        <w:spacing w:line="207" w:lineRule="exact"/>
        <w:ind w:left="822"/>
      </w:pPr>
      <w:r>
        <w:t>Масса комплекта в жестком футляре, не более</w:t>
      </w:r>
      <w:r>
        <w:rPr>
          <w:spacing w:val="22"/>
        </w:rPr>
        <w:t xml:space="preserve"> </w:t>
      </w:r>
      <w:r>
        <w:t>750г.</w:t>
      </w:r>
    </w:p>
    <w:p w:rsidR="00F309DC" w:rsidRDefault="00F309DC">
      <w:pPr>
        <w:pStyle w:val="a3"/>
        <w:spacing w:before="9"/>
        <w:rPr>
          <w:sz w:val="23"/>
        </w:rPr>
      </w:pPr>
    </w:p>
    <w:p w:rsidR="00F309DC" w:rsidRDefault="002500E1">
      <w:pPr>
        <w:pStyle w:val="2"/>
        <w:ind w:right="1295"/>
        <w:jc w:val="center"/>
      </w:pPr>
      <w:r>
        <w:t>КОМПЛЕКТНОСТЬ</w:t>
      </w:r>
    </w:p>
    <w:p w:rsidR="00F309DC" w:rsidRDefault="002500E1">
      <w:pPr>
        <w:pStyle w:val="a3"/>
        <w:tabs>
          <w:tab w:val="left" w:pos="5863"/>
        </w:tabs>
        <w:spacing w:before="33" w:line="278" w:lineRule="auto"/>
        <w:ind w:left="822" w:right="963"/>
        <w:jc w:val="both"/>
      </w:pPr>
      <w:r>
        <w:t>Линейка с</w:t>
      </w:r>
      <w:r>
        <w:rPr>
          <w:spacing w:val="3"/>
        </w:rPr>
        <w:t xml:space="preserve"> </w:t>
      </w:r>
      <w:r>
        <w:t>положительными</w:t>
      </w:r>
      <w:r>
        <w:rPr>
          <w:spacing w:val="2"/>
        </w:rPr>
        <w:t xml:space="preserve"> </w:t>
      </w:r>
      <w:r>
        <w:t>линзами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1 </w:t>
      </w:r>
      <w:r>
        <w:t>Линейка с</w:t>
      </w:r>
      <w:r>
        <w:rPr>
          <w:spacing w:val="6"/>
        </w:rPr>
        <w:t xml:space="preserve"> </w:t>
      </w:r>
      <w:r>
        <w:t>отрицательными</w:t>
      </w:r>
      <w:r>
        <w:rPr>
          <w:spacing w:val="4"/>
        </w:rPr>
        <w:t xml:space="preserve"> </w:t>
      </w:r>
      <w:r>
        <w:t>линзами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1 </w:t>
      </w:r>
      <w:r>
        <w:t>Футляр,</w:t>
      </w:r>
      <w:r>
        <w:rPr>
          <w:spacing w:val="3"/>
        </w:rPr>
        <w:t xml:space="preserve"> </w:t>
      </w:r>
      <w:r>
        <w:t>шт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1 </w:t>
      </w:r>
      <w:r>
        <w:t>Паспорт,</w:t>
      </w:r>
      <w:r>
        <w:rPr>
          <w:spacing w:val="1"/>
        </w:rPr>
        <w:t xml:space="preserve"> </w:t>
      </w:r>
      <w:r>
        <w:t>экз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>1</w:t>
      </w:r>
    </w:p>
    <w:p w:rsidR="00F309DC" w:rsidRDefault="002500E1">
      <w:pPr>
        <w:pStyle w:val="a3"/>
        <w:spacing w:before="71" w:line="278" w:lineRule="auto"/>
        <w:ind w:left="481" w:right="95" w:firstLine="720"/>
      </w:pPr>
      <w:r>
        <w:br w:type="column"/>
      </w:r>
      <w:r>
        <w:lastRenderedPageBreak/>
        <w:t>Линейка хранится в закрытом футляре в ящике рабочего стола врача- офтальмолога или оптометриста.</w:t>
      </w:r>
    </w:p>
    <w:p w:rsidR="00F309DC" w:rsidRDefault="002500E1">
      <w:pPr>
        <w:pStyle w:val="a3"/>
        <w:spacing w:line="278" w:lineRule="auto"/>
        <w:ind w:left="481" w:right="95" w:firstLine="720"/>
      </w:pPr>
      <w:r>
        <w:t>Линейку следует хранить в помещении при температуре от +5ºС до +40ºС и относительной влажности воздуха не более 80%. Воздух в помещении не должен содержать примесей, вызывающих коррозию.</w:t>
      </w:r>
    </w:p>
    <w:p w:rsidR="00F309DC" w:rsidRDefault="002500E1">
      <w:pPr>
        <w:pStyle w:val="a3"/>
        <w:spacing w:line="278" w:lineRule="auto"/>
        <w:ind w:left="481" w:right="95" w:firstLine="720"/>
      </w:pPr>
      <w:r>
        <w:t>Оптические поверхности, наружные поверхности линейки следует протират</w:t>
      </w:r>
      <w:r>
        <w:t>ь чистой мягкой салфеткой или ватой, слегка смоченной спиртом ректификатом или эфиром.</w:t>
      </w:r>
    </w:p>
    <w:p w:rsidR="00F309DC" w:rsidRDefault="002500E1">
      <w:pPr>
        <w:pStyle w:val="a3"/>
        <w:spacing w:line="278" w:lineRule="auto"/>
        <w:ind w:left="481" w:right="95" w:firstLine="720"/>
      </w:pPr>
      <w:r>
        <w:t>После обследования пациента рукоятка линейки должна быть продезинфицирована 3% раствором перекиси водорода с добавлением 0,5% моющего средства типа «Лотос». Один раз в н</w:t>
      </w:r>
      <w:r>
        <w:t>еделю линейка должна быть продезинфицирована таким способом полностью.</w:t>
      </w:r>
    </w:p>
    <w:p w:rsidR="00F309DC" w:rsidRDefault="00F309DC">
      <w:pPr>
        <w:pStyle w:val="a3"/>
        <w:spacing w:before="10"/>
        <w:rPr>
          <w:sz w:val="20"/>
        </w:rPr>
      </w:pPr>
    </w:p>
    <w:p w:rsidR="00F309DC" w:rsidRDefault="002500E1">
      <w:pPr>
        <w:pStyle w:val="2"/>
        <w:ind w:left="3241"/>
      </w:pPr>
      <w:r>
        <w:t>СВЕДЕНИЯ О ПРИЁМКЕ</w:t>
      </w:r>
    </w:p>
    <w:p w:rsidR="00F309DC" w:rsidRDefault="002500E1">
      <w:pPr>
        <w:pStyle w:val="a3"/>
        <w:spacing w:before="14" w:line="252" w:lineRule="auto"/>
        <w:ind w:left="481" w:right="95" w:firstLine="710"/>
      </w:pPr>
      <w:r>
        <w:t>Линейка скиаскопическая ЛС-02 соответствует ТУ9442-006-39589405-2002 и признана годной для эксплуатации. Средством измерения не является, поверке не подлежит.</w:t>
      </w:r>
    </w:p>
    <w:p w:rsidR="00F309DC" w:rsidRDefault="00F309DC">
      <w:pPr>
        <w:spacing w:line="252" w:lineRule="auto"/>
        <w:sectPr w:rsidR="00F309DC">
          <w:pgSz w:w="16840" w:h="11910" w:orient="landscape"/>
          <w:pgMar w:top="400" w:right="620" w:bottom="280" w:left="580" w:header="720" w:footer="720" w:gutter="0"/>
          <w:cols w:num="2" w:space="720" w:equalWidth="0">
            <w:col w:w="6919" w:space="1152"/>
            <w:col w:w="7569"/>
          </w:cols>
        </w:sectPr>
      </w:pPr>
    </w:p>
    <w:p w:rsidR="00F309DC" w:rsidRDefault="00F309DC">
      <w:pPr>
        <w:pStyle w:val="a3"/>
        <w:spacing w:before="7"/>
        <w:rPr>
          <w:sz w:val="12"/>
        </w:rPr>
      </w:pPr>
    </w:p>
    <w:p w:rsidR="00F309DC" w:rsidRDefault="002500E1">
      <w:pPr>
        <w:pStyle w:val="2"/>
        <w:spacing w:before="95"/>
        <w:ind w:left="2310"/>
      </w:pPr>
      <w:r>
        <w:t>УСТРОЙСТВО И ПОРЯДОК РАБОТЫ</w:t>
      </w:r>
    </w:p>
    <w:p w:rsidR="00F309DC" w:rsidRDefault="00F309DC">
      <w:pPr>
        <w:pStyle w:val="a3"/>
        <w:spacing w:before="9"/>
        <w:rPr>
          <w:b/>
          <w:sz w:val="11"/>
        </w:rPr>
      </w:pPr>
    </w:p>
    <w:p w:rsidR="00F309DC" w:rsidRDefault="00F309DC">
      <w:pPr>
        <w:rPr>
          <w:sz w:val="11"/>
        </w:rPr>
        <w:sectPr w:rsidR="00F309DC">
          <w:type w:val="continuous"/>
          <w:pgSz w:w="16840" w:h="11910" w:orient="landscape"/>
          <w:pgMar w:top="380" w:right="620" w:bottom="280" w:left="580" w:header="720" w:footer="720" w:gutter="0"/>
          <w:cols w:space="720"/>
        </w:sectPr>
      </w:pPr>
    </w:p>
    <w:p w:rsidR="00F309DC" w:rsidRDefault="002500E1">
      <w:pPr>
        <w:pStyle w:val="a3"/>
        <w:spacing w:before="94" w:line="249" w:lineRule="auto"/>
        <w:ind w:left="101" w:right="60" w:firstLine="720"/>
      </w:pPr>
      <w:r>
        <w:lastRenderedPageBreak/>
        <w:t xml:space="preserve">Линейка представляет </w:t>
      </w:r>
      <w:r>
        <w:rPr>
          <w:spacing w:val="-4"/>
        </w:rPr>
        <w:t xml:space="preserve">собой </w:t>
      </w:r>
      <w:r>
        <w:rPr>
          <w:spacing w:val="-3"/>
        </w:rPr>
        <w:t xml:space="preserve">прямоугольную </w:t>
      </w:r>
      <w:r>
        <w:t xml:space="preserve">рамку с </w:t>
      </w:r>
      <w:r>
        <w:rPr>
          <w:spacing w:val="-4"/>
        </w:rPr>
        <w:t xml:space="preserve">ручкой </w:t>
      </w:r>
      <w:r>
        <w:t xml:space="preserve">по </w:t>
      </w:r>
      <w:r>
        <w:rPr>
          <w:spacing w:val="-3"/>
        </w:rPr>
        <w:t xml:space="preserve">наружному контуру которой </w:t>
      </w:r>
      <w:r>
        <w:t xml:space="preserve">перемещается </w:t>
      </w:r>
      <w:r>
        <w:rPr>
          <w:spacing w:val="-3"/>
        </w:rPr>
        <w:t xml:space="preserve">движок. </w:t>
      </w:r>
      <w:r>
        <w:t xml:space="preserve">В отверстия рамки </w:t>
      </w:r>
      <w:r>
        <w:rPr>
          <w:spacing w:val="-3"/>
        </w:rPr>
        <w:t xml:space="preserve">установлены </w:t>
      </w:r>
      <w:r>
        <w:t xml:space="preserve">линзы с рефракциями </w:t>
      </w:r>
      <w:r>
        <w:rPr>
          <w:spacing w:val="-3"/>
        </w:rPr>
        <w:t xml:space="preserve">от </w:t>
      </w:r>
      <w:r>
        <w:t xml:space="preserve">+/-1,0 до +/-9,0дптр, </w:t>
      </w:r>
      <w:r>
        <w:rPr>
          <w:spacing w:val="-3"/>
        </w:rPr>
        <w:t xml:space="preserve">одно </w:t>
      </w:r>
      <w:r>
        <w:t xml:space="preserve">отверстие </w:t>
      </w:r>
      <w:r>
        <w:rPr>
          <w:spacing w:val="-3"/>
        </w:rPr>
        <w:t xml:space="preserve">сквозное </w:t>
      </w:r>
      <w:r>
        <w:t xml:space="preserve">без линз. В движке с положительными линзами в гнезде с обозначениями </w:t>
      </w:r>
      <w:r>
        <w:rPr>
          <w:spacing w:val="-3"/>
        </w:rPr>
        <w:t xml:space="preserve">«10» </w:t>
      </w:r>
      <w:r>
        <w:t xml:space="preserve">находится линза с задней вершиной рефракцией плюс 9,5 дптр, в движке с отрицательными линзами – </w:t>
      </w:r>
      <w:r>
        <w:rPr>
          <w:spacing w:val="-3"/>
        </w:rPr>
        <w:t xml:space="preserve">минус </w:t>
      </w:r>
      <w:r>
        <w:t xml:space="preserve">10,0 дптр, что </w:t>
      </w:r>
      <w:r>
        <w:rPr>
          <w:spacing w:val="-3"/>
        </w:rPr>
        <w:t xml:space="preserve">соответствует </w:t>
      </w:r>
      <w:r>
        <w:t xml:space="preserve">при </w:t>
      </w:r>
      <w:r>
        <w:rPr>
          <w:spacing w:val="-3"/>
        </w:rPr>
        <w:t xml:space="preserve">скиаскопии </w:t>
      </w:r>
      <w:r>
        <w:t>рефракции гл</w:t>
      </w:r>
      <w:r>
        <w:t xml:space="preserve">аза плюс или </w:t>
      </w:r>
      <w:r>
        <w:rPr>
          <w:spacing w:val="-3"/>
        </w:rPr>
        <w:t xml:space="preserve">минус </w:t>
      </w:r>
      <w:r>
        <w:t xml:space="preserve">10 дптр. Таким образом, учтено увеличение </w:t>
      </w:r>
      <w:r>
        <w:rPr>
          <w:spacing w:val="-3"/>
        </w:rPr>
        <w:t xml:space="preserve">расстояния от </w:t>
      </w:r>
      <w:r>
        <w:t xml:space="preserve">глаза пациента до линзы </w:t>
      </w:r>
      <w:r>
        <w:rPr>
          <w:spacing w:val="-3"/>
        </w:rPr>
        <w:t xml:space="preserve">движков </w:t>
      </w:r>
      <w:r>
        <w:t>по сравнению с линзами линеек. В гнездах с обозначением «0.5» находятся</w:t>
      </w:r>
      <w:r>
        <w:rPr>
          <w:spacing w:val="1"/>
        </w:rPr>
        <w:t xml:space="preserve"> </w:t>
      </w:r>
      <w:r>
        <w:t>линзы</w:t>
      </w:r>
    </w:p>
    <w:p w:rsidR="00F309DC" w:rsidRDefault="002500E1">
      <w:pPr>
        <w:pStyle w:val="a3"/>
        <w:rPr>
          <w:sz w:val="20"/>
        </w:rPr>
      </w:pPr>
      <w:r>
        <w:br w:type="column"/>
      </w:r>
    </w:p>
    <w:p w:rsidR="00F309DC" w:rsidRDefault="00F309DC">
      <w:pPr>
        <w:pStyle w:val="a3"/>
        <w:rPr>
          <w:sz w:val="20"/>
        </w:rPr>
      </w:pPr>
    </w:p>
    <w:p w:rsidR="00F309DC" w:rsidRDefault="002500E1">
      <w:pPr>
        <w:pStyle w:val="a3"/>
        <w:spacing w:before="158"/>
        <w:ind w:left="101"/>
      </w:pPr>
      <w:r>
        <w:t>Дата выпуска:</w:t>
      </w:r>
    </w:p>
    <w:p w:rsidR="00F309DC" w:rsidRDefault="002500E1">
      <w:pPr>
        <w:pStyle w:val="a3"/>
        <w:rPr>
          <w:sz w:val="20"/>
        </w:rPr>
      </w:pPr>
      <w:r>
        <w:br w:type="column"/>
      </w:r>
    </w:p>
    <w:p w:rsidR="00F309DC" w:rsidRDefault="00F309DC">
      <w:pPr>
        <w:pStyle w:val="a3"/>
        <w:rPr>
          <w:sz w:val="20"/>
        </w:rPr>
      </w:pPr>
    </w:p>
    <w:p w:rsidR="00F309DC" w:rsidRDefault="00F309DC">
      <w:pPr>
        <w:pStyle w:val="a3"/>
        <w:rPr>
          <w:sz w:val="20"/>
        </w:rPr>
      </w:pPr>
    </w:p>
    <w:p w:rsidR="00F309DC" w:rsidRDefault="00F309DC">
      <w:pPr>
        <w:pStyle w:val="a3"/>
        <w:rPr>
          <w:sz w:val="20"/>
        </w:rPr>
      </w:pPr>
    </w:p>
    <w:p w:rsidR="00F309DC" w:rsidRDefault="00F309DC">
      <w:pPr>
        <w:pStyle w:val="a3"/>
        <w:rPr>
          <w:sz w:val="20"/>
        </w:rPr>
      </w:pPr>
    </w:p>
    <w:p w:rsidR="00F309DC" w:rsidRDefault="00F309DC">
      <w:pPr>
        <w:pStyle w:val="a3"/>
        <w:rPr>
          <w:sz w:val="20"/>
        </w:rPr>
      </w:pPr>
    </w:p>
    <w:p w:rsidR="00F309DC" w:rsidRDefault="00F309DC">
      <w:pPr>
        <w:pStyle w:val="a3"/>
        <w:spacing w:before="3"/>
        <w:rPr>
          <w:sz w:val="17"/>
        </w:rPr>
      </w:pPr>
    </w:p>
    <w:p w:rsidR="00F309DC" w:rsidRDefault="002500E1">
      <w:pPr>
        <w:pStyle w:val="2"/>
        <w:ind w:left="101"/>
      </w:pPr>
      <w:r>
        <w:t>ГАРАНТИИ ИЗГОТОВИТЕЛЯ</w:t>
      </w:r>
    </w:p>
    <w:p w:rsidR="00F309DC" w:rsidRDefault="00F309DC">
      <w:pPr>
        <w:sectPr w:rsidR="00F309DC">
          <w:type w:val="continuous"/>
          <w:pgSz w:w="16840" w:h="11910" w:orient="landscape"/>
          <w:pgMar w:top="380" w:right="620" w:bottom="280" w:left="580" w:header="720" w:footer="720" w:gutter="0"/>
          <w:cols w:num="3" w:space="720" w:equalWidth="0">
            <w:col w:w="7090" w:space="2081"/>
            <w:col w:w="1243" w:space="601"/>
            <w:col w:w="4625"/>
          </w:cols>
        </w:sectPr>
      </w:pPr>
    </w:p>
    <w:p w:rsidR="00F309DC" w:rsidRDefault="002500E1">
      <w:pPr>
        <w:pStyle w:val="a3"/>
        <w:spacing w:before="7"/>
        <w:ind w:left="101"/>
      </w:pPr>
      <w:r>
        <w:lastRenderedPageBreak/>
        <w:t>соответствующей задней вершинной рефракции.</w:t>
      </w:r>
    </w:p>
    <w:p w:rsidR="00F309DC" w:rsidRDefault="002500E1">
      <w:pPr>
        <w:pStyle w:val="a3"/>
        <w:spacing w:before="9" w:line="249" w:lineRule="auto"/>
        <w:ind w:left="101" w:right="315" w:firstLine="768"/>
      </w:pPr>
      <w:r>
        <w:t xml:space="preserve">Движок может перемещаться по внешним пазам рамки с фиксацией против каждой линзы. При совмещении одной из линз движка с линзой линейки значения величин их рефракций складываются </w:t>
      </w:r>
      <w:r>
        <w:t>(суммируются соответствующие обозначения на движке и линейке).</w:t>
      </w:r>
    </w:p>
    <w:p w:rsidR="00F309DC" w:rsidRDefault="002500E1">
      <w:pPr>
        <w:pStyle w:val="a3"/>
        <w:spacing w:before="4" w:line="249" w:lineRule="auto"/>
        <w:ind w:left="101" w:firstLine="720"/>
      </w:pPr>
      <w:r>
        <w:t>При совмещении линз движка с обозначение «0,5» с первым свободным гнездом линейки получается наименьшая рефракция, равная 0,5 дптр.</w:t>
      </w:r>
    </w:p>
    <w:p w:rsidR="00F309DC" w:rsidRDefault="002500E1">
      <w:pPr>
        <w:pStyle w:val="a3"/>
        <w:spacing w:before="1" w:line="249" w:lineRule="auto"/>
        <w:ind w:left="101" w:right="781" w:firstLine="720"/>
      </w:pPr>
      <w:r>
        <w:t>При совмещении линз движка с обозначение «10» с линзами линей</w:t>
      </w:r>
      <w:r>
        <w:t>ки с обозначением «9» получается наибольшая рефракция, равная 19 дптр.</w:t>
      </w:r>
    </w:p>
    <w:p w:rsidR="00F309DC" w:rsidRDefault="002500E1">
      <w:pPr>
        <w:pStyle w:val="a3"/>
        <w:spacing w:before="2" w:line="252" w:lineRule="auto"/>
        <w:ind w:left="101" w:firstLine="720"/>
      </w:pPr>
      <w:r>
        <w:t>Значение рефракции в диапазоне от минус 9 до плюс 9 дптр получают с интервалом 0,5 дптр, в остальных диапазонах – с интервалом 1 дптр.</w:t>
      </w:r>
    </w:p>
    <w:p w:rsidR="00F309DC" w:rsidRDefault="002500E1">
      <w:pPr>
        <w:pStyle w:val="a3"/>
        <w:spacing w:line="249" w:lineRule="auto"/>
        <w:ind w:left="101" w:right="649" w:firstLine="720"/>
      </w:pPr>
      <w:r>
        <w:t>На каждой линейке нанесены знаки «+» или «-» и цифры, обозначающие величину задней вершинной рефракции линз.</w:t>
      </w:r>
    </w:p>
    <w:p w:rsidR="00F309DC" w:rsidRDefault="002500E1">
      <w:pPr>
        <w:pStyle w:val="a3"/>
        <w:spacing w:line="249" w:lineRule="auto"/>
        <w:ind w:left="101" w:right="691" w:firstLine="720"/>
      </w:pPr>
      <w:r>
        <w:t>Перемещение движка в процессе эксплуатации должно выполняться без приложения чрезмерных усилий.</w:t>
      </w:r>
    </w:p>
    <w:p w:rsidR="00F309DC" w:rsidRDefault="002500E1">
      <w:pPr>
        <w:pStyle w:val="a3"/>
        <w:spacing w:before="1" w:line="249" w:lineRule="auto"/>
        <w:ind w:left="101" w:right="767" w:firstLine="720"/>
      </w:pPr>
      <w:r>
        <w:t>В процессе исследования линейка должна располагатьс</w:t>
      </w:r>
      <w:r>
        <w:t>я на расстоянии приблизительно 12мм от вершины роговицы глаза.</w:t>
      </w:r>
    </w:p>
    <w:p w:rsidR="00F309DC" w:rsidRDefault="00F309DC">
      <w:pPr>
        <w:pStyle w:val="a3"/>
        <w:spacing w:before="7"/>
        <w:rPr>
          <w:sz w:val="22"/>
        </w:rPr>
      </w:pPr>
    </w:p>
    <w:p w:rsidR="00F309DC" w:rsidRDefault="002500E1">
      <w:pPr>
        <w:pStyle w:val="2"/>
        <w:spacing w:before="1"/>
        <w:ind w:left="2507"/>
      </w:pPr>
      <w:r>
        <w:t>ПРАВИЛА ХРАНЕНИЯ И УХОДА</w:t>
      </w:r>
    </w:p>
    <w:p w:rsidR="00F309DC" w:rsidRDefault="002500E1">
      <w:pPr>
        <w:pStyle w:val="a3"/>
        <w:spacing w:before="2" w:line="278" w:lineRule="auto"/>
        <w:ind w:left="101" w:firstLine="720"/>
      </w:pPr>
      <w:r>
        <w:br w:type="column"/>
      </w:r>
      <w:r>
        <w:lastRenderedPageBreak/>
        <w:t>Изготовитель гарантирует соответствие линейки требованиям технических условий при соблюдении потребителем условий эксплуатации и хранения.</w:t>
      </w:r>
    </w:p>
    <w:p w:rsidR="00F309DC" w:rsidRDefault="002500E1">
      <w:pPr>
        <w:pStyle w:val="a3"/>
        <w:spacing w:line="278" w:lineRule="auto"/>
        <w:ind w:left="101" w:firstLine="720"/>
      </w:pPr>
      <w:r>
        <w:t>Гарантийный срок эксплуатац</w:t>
      </w:r>
      <w:r>
        <w:t>ии линейки – 24 месяца со дня ввода в эксплуатацию. Срок хранения до ввода в эксплуатацию не более 6 месяцев для действующих учреждений, 9 месяцев для строящихся учреждений и 12 месяцев для учреждений с сезонным характером работы со дня поступления линейки</w:t>
      </w:r>
      <w:r>
        <w:t xml:space="preserve"> в учреждение.</w:t>
      </w:r>
    </w:p>
    <w:p w:rsidR="00F309DC" w:rsidRDefault="002500E1">
      <w:pPr>
        <w:pStyle w:val="a3"/>
        <w:ind w:left="821"/>
      </w:pPr>
      <w:r>
        <w:t xml:space="preserve">Гарантийный </w:t>
      </w:r>
      <w:r>
        <w:rPr>
          <w:spacing w:val="-3"/>
        </w:rPr>
        <w:t xml:space="preserve">срок </w:t>
      </w:r>
      <w:r>
        <w:t xml:space="preserve">хранения – 12 месяцев </w:t>
      </w:r>
      <w:r>
        <w:rPr>
          <w:spacing w:val="-3"/>
        </w:rPr>
        <w:t xml:space="preserve">от </w:t>
      </w:r>
      <w:r>
        <w:t xml:space="preserve">даты </w:t>
      </w:r>
      <w:r>
        <w:rPr>
          <w:spacing w:val="4"/>
        </w:rPr>
        <w:t xml:space="preserve"> </w:t>
      </w:r>
      <w:r>
        <w:t>изготовления.</w:t>
      </w:r>
    </w:p>
    <w:p w:rsidR="00F309DC" w:rsidRDefault="002500E1">
      <w:pPr>
        <w:pStyle w:val="a3"/>
        <w:spacing w:before="33" w:line="278" w:lineRule="auto"/>
        <w:ind w:left="101" w:firstLine="720"/>
      </w:pPr>
      <w:r>
        <w:t xml:space="preserve">В течение гарантийного </w:t>
      </w:r>
      <w:r>
        <w:rPr>
          <w:spacing w:val="-3"/>
        </w:rPr>
        <w:t xml:space="preserve">срока </w:t>
      </w:r>
      <w:r>
        <w:t xml:space="preserve">предприятие-изготовитель безвозмездно заменяет дефектную линейку при соблюдении потребителем </w:t>
      </w:r>
      <w:r>
        <w:rPr>
          <w:spacing w:val="-4"/>
        </w:rPr>
        <w:t xml:space="preserve">условий </w:t>
      </w:r>
      <w:r>
        <w:rPr>
          <w:spacing w:val="-3"/>
        </w:rPr>
        <w:t xml:space="preserve">эксплуатации, </w:t>
      </w:r>
      <w:r>
        <w:t xml:space="preserve">транспортирования и хранения, и </w:t>
      </w:r>
      <w:r>
        <w:rPr>
          <w:spacing w:val="-3"/>
        </w:rPr>
        <w:t>отс</w:t>
      </w:r>
      <w:r>
        <w:rPr>
          <w:spacing w:val="-3"/>
        </w:rPr>
        <w:t xml:space="preserve">утствии </w:t>
      </w:r>
      <w:r>
        <w:t>механических</w:t>
      </w:r>
      <w:r>
        <w:rPr>
          <w:spacing w:val="14"/>
        </w:rPr>
        <w:t xml:space="preserve"> </w:t>
      </w:r>
      <w:r>
        <w:t>повреждений.</w:t>
      </w:r>
    </w:p>
    <w:p w:rsidR="00F309DC" w:rsidRDefault="002500E1">
      <w:pPr>
        <w:pStyle w:val="a3"/>
        <w:spacing w:line="278" w:lineRule="auto"/>
        <w:ind w:left="101" w:firstLine="720"/>
      </w:pPr>
      <w:r>
        <w:t>По истечении гарантийного срока предприятие-изготовитель претензии по качеству линейки не принимает.</w:t>
      </w:r>
    </w:p>
    <w:p w:rsidR="00F309DC" w:rsidRDefault="002500E1">
      <w:pPr>
        <w:pStyle w:val="a3"/>
        <w:spacing w:line="192" w:lineRule="exact"/>
        <w:ind w:left="821"/>
      </w:pPr>
      <w:r>
        <w:t>Учитывая постоянную работу по повышению качества товара, изготовитель</w:t>
      </w:r>
    </w:p>
    <w:p w:rsidR="00F309DC" w:rsidRDefault="002500E1">
      <w:pPr>
        <w:pStyle w:val="a3"/>
        <w:spacing w:before="14" w:line="256" w:lineRule="auto"/>
        <w:ind w:left="101"/>
      </w:pPr>
      <w:r>
        <w:t>оставляет за собой право, вносить изменения в конст</w:t>
      </w:r>
      <w:r>
        <w:t>рукцию сохраняя неизменными требования технических условий.</w:t>
      </w:r>
    </w:p>
    <w:p w:rsidR="00F309DC" w:rsidRDefault="00F309DC">
      <w:pPr>
        <w:pStyle w:val="a3"/>
        <w:spacing w:before="4"/>
        <w:rPr>
          <w:sz w:val="20"/>
        </w:rPr>
      </w:pPr>
    </w:p>
    <w:p w:rsidR="00F309DC" w:rsidRDefault="002500E1">
      <w:pPr>
        <w:pStyle w:val="a3"/>
        <w:spacing w:before="1"/>
        <w:ind w:left="821"/>
      </w:pPr>
      <w:r>
        <w:t>АДРЕС ИЗГОТОВИТЕЛЯ: 127422 Москва, ул. Тимирязевская д.1.стр2.</w:t>
      </w:r>
    </w:p>
    <w:p w:rsidR="00F309DC" w:rsidRDefault="002500E1">
      <w:pPr>
        <w:spacing w:before="14"/>
        <w:ind w:left="149"/>
        <w:rPr>
          <w:sz w:val="18"/>
        </w:rPr>
      </w:pPr>
      <w:r>
        <w:rPr>
          <w:sz w:val="18"/>
        </w:rPr>
        <w:t xml:space="preserve">Тел. (495) 744-56-51, (499) </w:t>
      </w:r>
      <w:r>
        <w:rPr>
          <w:sz w:val="20"/>
        </w:rPr>
        <w:t>641-55-50</w:t>
      </w:r>
      <w:r>
        <w:rPr>
          <w:sz w:val="18"/>
        </w:rPr>
        <w:t>.</w:t>
      </w:r>
    </w:p>
    <w:sectPr w:rsidR="00F309DC">
      <w:type w:val="continuous"/>
      <w:pgSz w:w="16840" w:h="11910" w:orient="landscape"/>
      <w:pgMar w:top="380" w:right="620" w:bottom="280" w:left="580" w:header="720" w:footer="720" w:gutter="0"/>
      <w:cols w:num="2" w:space="720" w:equalWidth="0">
        <w:col w:w="7111" w:space="1340"/>
        <w:col w:w="71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DC"/>
    <w:rsid w:val="002500E1"/>
    <w:rsid w:val="00F3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407" w:right="91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332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407" w:right="91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332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Равиля К</cp:lastModifiedBy>
  <cp:revision>2</cp:revision>
  <dcterms:created xsi:type="dcterms:W3CDTF">2019-12-03T10:47:00Z</dcterms:created>
  <dcterms:modified xsi:type="dcterms:W3CDTF">2019-12-03T10:47:00Z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2019-12-03T00:00:00Z</vt:filetime>
  </property>
</Properties>
</file>